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A1516B" w14:textId="77777777" w:rsidR="00205C6A" w:rsidRDefault="00205C6A" w:rsidP="00205C6A">
      <w:pPr>
        <w:tabs>
          <w:tab w:val="left" w:pos="5505"/>
        </w:tabs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kern w:val="0"/>
          <w14:ligatures w14:val="none"/>
        </w:rPr>
      </w:pPr>
    </w:p>
    <w:p w14:paraId="6513E7DF" w14:textId="77777777" w:rsidR="00205C6A" w:rsidRPr="00205C6A" w:rsidRDefault="00205C6A" w:rsidP="00205C6A">
      <w:pPr>
        <w:tabs>
          <w:tab w:val="left" w:pos="5505"/>
        </w:tabs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kern w:val="0"/>
          <w14:ligatures w14:val="none"/>
        </w:rPr>
      </w:pPr>
    </w:p>
    <w:p w14:paraId="67F450F1" w14:textId="2E5E6530" w:rsidR="00527EF8" w:rsidRPr="00205C6A" w:rsidRDefault="000C6724" w:rsidP="00205C6A">
      <w:pPr>
        <w:tabs>
          <w:tab w:val="left" w:pos="5505"/>
        </w:tabs>
        <w:spacing w:after="24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05C6A">
        <w:rPr>
          <w:rFonts w:ascii="Times New Roman" w:eastAsia="Calibri" w:hAnsi="Times New Roman" w:cs="Times New Roman"/>
          <w:b/>
          <w:color w:val="000000" w:themeColor="text1"/>
          <w:kern w:val="0"/>
          <w:sz w:val="28"/>
          <w:szCs w:val="28"/>
          <w14:ligatures w14:val="none"/>
        </w:rPr>
        <w:t>LECZENIE</w:t>
      </w:r>
      <w:r w:rsidR="00527EF8" w:rsidRPr="00205C6A">
        <w:rPr>
          <w:rFonts w:ascii="Times New Roman" w:eastAsia="Calibri" w:hAnsi="Times New Roman" w:cs="Times New Roman"/>
          <w:b/>
          <w:color w:val="000000" w:themeColor="text1"/>
          <w:kern w:val="0"/>
          <w:sz w:val="28"/>
          <w:szCs w:val="28"/>
          <w14:ligatures w14:val="none"/>
        </w:rPr>
        <w:t xml:space="preserve"> </w:t>
      </w:r>
      <w:r w:rsidRPr="00205C6A">
        <w:rPr>
          <w:rFonts w:ascii="Times New Roman" w:eastAsia="Calibri" w:hAnsi="Times New Roman" w:cs="Times New Roman"/>
          <w:b/>
          <w:color w:val="000000" w:themeColor="text1"/>
          <w:kern w:val="0"/>
          <w:sz w:val="28"/>
          <w:szCs w:val="28"/>
          <w14:ligatures w14:val="none"/>
        </w:rPr>
        <w:t>CHORYCH NA RAKA NOSOGARDŁA (ICD-10</w:t>
      </w:r>
      <w:r w:rsidR="00205C6A" w:rsidRPr="00205C6A">
        <w:rPr>
          <w:rFonts w:ascii="Times New Roman" w:eastAsia="Calibri" w:hAnsi="Times New Roman" w:cs="Times New Roman"/>
          <w:b/>
          <w:color w:val="000000" w:themeColor="text1"/>
          <w:kern w:val="0"/>
          <w:sz w:val="28"/>
          <w:szCs w:val="28"/>
          <w14:ligatures w14:val="none"/>
        </w:rPr>
        <w:t>:</w:t>
      </w:r>
      <w:r w:rsidRPr="00205C6A">
        <w:rPr>
          <w:rFonts w:ascii="Times New Roman" w:eastAsia="Calibri" w:hAnsi="Times New Roman" w:cs="Times New Roman"/>
          <w:b/>
          <w:color w:val="000000" w:themeColor="text1"/>
          <w:kern w:val="0"/>
          <w:sz w:val="28"/>
          <w:szCs w:val="28"/>
          <w14:ligatures w14:val="none"/>
        </w:rPr>
        <w:t xml:space="preserve"> C11)</w:t>
      </w:r>
    </w:p>
    <w:tbl>
      <w:tblPr>
        <w:tblpPr w:leftFromText="141" w:rightFromText="141" w:tblpY="1185"/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1"/>
        <w:gridCol w:w="4114"/>
        <w:gridCol w:w="5609"/>
      </w:tblGrid>
      <w:tr w:rsidR="00463419" w:rsidRPr="00463419" w14:paraId="04388BE2" w14:textId="77777777" w:rsidTr="00EC2785">
        <w:trPr>
          <w:trHeight w:val="567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224BF" w14:textId="1C7D94B2" w:rsidR="00463419" w:rsidRPr="00463419" w:rsidRDefault="00527EF8" w:rsidP="00463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="00463419" w:rsidRPr="00463419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ZAKRES ŚWIADCZENIA GWARANTOWANEGO</w:t>
            </w:r>
          </w:p>
        </w:tc>
      </w:tr>
      <w:tr w:rsidR="00463419" w:rsidRPr="00463419" w14:paraId="1042CC69" w14:textId="77777777" w:rsidTr="00EC2785">
        <w:trPr>
          <w:trHeight w:val="567"/>
        </w:trPr>
        <w:tc>
          <w:tcPr>
            <w:tcW w:w="18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AFE13" w14:textId="77777777" w:rsidR="00463419" w:rsidRPr="00463419" w:rsidRDefault="00463419" w:rsidP="00463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463419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ŚWIADCZENIOBIORCY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D1CF62" w14:textId="77777777" w:rsidR="00463419" w:rsidRPr="00463419" w:rsidRDefault="00463419" w:rsidP="00463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463419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SCHEMAT DAWKOWANIA LEKÓW </w:t>
            </w:r>
            <w:r w:rsidRPr="00463419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br/>
              <w:t>W PROGRAMIE</w:t>
            </w:r>
          </w:p>
        </w:tc>
        <w:tc>
          <w:tcPr>
            <w:tcW w:w="18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0DAA14" w14:textId="77777777" w:rsidR="00463419" w:rsidRPr="00463419" w:rsidRDefault="00463419" w:rsidP="00463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463419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BADANIA DIAGNOSTYCZNE WYKONYWANE </w:t>
            </w:r>
            <w:r w:rsidRPr="00463419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br/>
              <w:t>W RAMACH PROGRAMU</w:t>
            </w:r>
          </w:p>
        </w:tc>
      </w:tr>
      <w:tr w:rsidR="00463419" w:rsidRPr="00463419" w14:paraId="75BCD9E9" w14:textId="77777777" w:rsidTr="00EC2785">
        <w:trPr>
          <w:trHeight w:val="2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DA89775" w14:textId="20AACA73" w:rsidR="00463419" w:rsidRPr="00052FC1" w:rsidRDefault="00463419" w:rsidP="00052FC1">
            <w:pPr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52FC1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Torip</w:t>
            </w:r>
            <w:r w:rsidR="004C18DB" w:rsidRPr="00052FC1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a</w:t>
            </w:r>
            <w:r w:rsidRPr="00052FC1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limab</w:t>
            </w:r>
            <w:proofErr w:type="spellEnd"/>
            <w:r w:rsidRPr="00052FC1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 w skojarzeniu z </w:t>
            </w:r>
            <w:proofErr w:type="spellStart"/>
            <w:r w:rsidRPr="00052FC1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cisplatyną</w:t>
            </w:r>
            <w:proofErr w:type="spellEnd"/>
            <w:r w:rsidRPr="00052FC1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 i </w:t>
            </w:r>
            <w:proofErr w:type="spellStart"/>
            <w:r w:rsidRPr="00052FC1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gemcytabiną</w:t>
            </w:r>
            <w:proofErr w:type="spellEnd"/>
            <w:r w:rsidRPr="00052FC1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 w leczeniu raka </w:t>
            </w:r>
            <w:proofErr w:type="spellStart"/>
            <w:r w:rsidRPr="00052FC1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nosogardła</w:t>
            </w:r>
            <w:proofErr w:type="spellEnd"/>
          </w:p>
          <w:p w14:paraId="77C74FFF" w14:textId="77777777" w:rsidR="00463419" w:rsidRPr="00052FC1" w:rsidRDefault="00463419" w:rsidP="00052FC1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  <w:p w14:paraId="3454EA71" w14:textId="40680A02" w:rsidR="00463419" w:rsidRPr="00052FC1" w:rsidRDefault="00463419" w:rsidP="00052FC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Kryteria kwalifikacji: </w:t>
            </w:r>
          </w:p>
          <w:p w14:paraId="38B2ADD2" w14:textId="781E0960" w:rsidR="00463419" w:rsidRPr="00052FC1" w:rsidRDefault="00463419" w:rsidP="00052FC1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histologicznie potwierdzony nowotwór </w:t>
            </w:r>
            <w:proofErr w:type="spellStart"/>
            <w:r w:rsidRPr="00052FC1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>nosogardła</w:t>
            </w:r>
            <w:proofErr w:type="spellEnd"/>
            <w:r w:rsidRPr="00052FC1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 z nawrotem miejscowym lub regionalnym po leczeniu loko regionalnym lub przerzutami odległymi (IVB);</w:t>
            </w:r>
          </w:p>
          <w:p w14:paraId="6779A2C9" w14:textId="475B4112" w:rsidR="00855889" w:rsidRPr="00052FC1" w:rsidRDefault="00855889" w:rsidP="00052FC1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color w:val="3A7C22" w:themeColor="accent6" w:themeShade="BF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color w:val="3A7C22" w:themeColor="accent6" w:themeShade="BF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052FC1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w przypadku pacjentów z nawrotowym rakiem </w:t>
            </w:r>
            <w:proofErr w:type="spellStart"/>
            <w:r w:rsidRPr="00052FC1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nosogardła</w:t>
            </w:r>
            <w:proofErr w:type="spellEnd"/>
            <w:r w:rsidRPr="00052FC1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po zastosowaniu leczenia z zamiarem wyleczenia (włączając radioterapię lub chemioterapię indukcyjną, jednoczasową, lub </w:t>
            </w:r>
            <w:proofErr w:type="spellStart"/>
            <w:r w:rsidRPr="00052FC1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adjuwantową</w:t>
            </w:r>
            <w:proofErr w:type="spellEnd"/>
            <w:r w:rsidRPr="00052FC1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) odstęp pomiędzy ostatnią dawką radioterapii albo chemioterapii a nawrotem choroby: dłuższy niż 6 miesięcy;</w:t>
            </w:r>
          </w:p>
          <w:p w14:paraId="39C310AE" w14:textId="33D44DB2" w:rsidR="00463419" w:rsidRPr="00052FC1" w:rsidRDefault="00463419" w:rsidP="00052FC1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>brak możliwości ratującego leczenia regionalnego, w tym chirurgicznego lub radioterapii;</w:t>
            </w:r>
          </w:p>
          <w:p w14:paraId="0B63B051" w14:textId="40C48B61" w:rsidR="00463419" w:rsidRPr="00052FC1" w:rsidRDefault="00463419" w:rsidP="00052FC1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niestosowanie wcześniejszego leczenia systemowego nowotworu </w:t>
            </w:r>
            <w:proofErr w:type="spellStart"/>
            <w:r w:rsidRPr="00052FC1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>nosogardła</w:t>
            </w:r>
            <w:proofErr w:type="spellEnd"/>
            <w:r w:rsidRPr="00052FC1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>;</w:t>
            </w:r>
          </w:p>
          <w:p w14:paraId="14314EE3" w14:textId="5415A869" w:rsidR="00420146" w:rsidRPr="00052FC1" w:rsidRDefault="00420146" w:rsidP="00052FC1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>brak wcześniejszego leczenia inhibitorami punktów kontrolnych układu immunologicznego;</w:t>
            </w:r>
          </w:p>
          <w:p w14:paraId="0A6FC362" w14:textId="4C77EFA1" w:rsidR="00463419" w:rsidRPr="00052FC1" w:rsidRDefault="00463419" w:rsidP="00052FC1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>sprawność w stopniu 0-1 wg klasyfikacji WHO lub ECOG;</w:t>
            </w:r>
          </w:p>
          <w:p w14:paraId="79879D5B" w14:textId="77777777" w:rsidR="0016290B" w:rsidRPr="00052FC1" w:rsidRDefault="00463419" w:rsidP="00052FC1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>wiek powyżej 18. roku życia;</w:t>
            </w:r>
          </w:p>
          <w:p w14:paraId="18025C2A" w14:textId="030BDF71" w:rsidR="0038361C" w:rsidRPr="00052FC1" w:rsidRDefault="00463419" w:rsidP="00052FC1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lastRenderedPageBreak/>
              <w:t>wykluczenie współwystępowania chorób o istotnym klinicznie znaczeniu bez możliwości kontroli za pomocą właściwego leczenia;</w:t>
            </w:r>
          </w:p>
          <w:p w14:paraId="7517E838" w14:textId="77777777" w:rsidR="0038361C" w:rsidRPr="00052FC1" w:rsidRDefault="0038361C" w:rsidP="00052FC1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>nieobecność aktywnych przerzutów w ośrodkowym układzie nerwowym (dopuszczalne wcześniejsze wycięcie przerzutów lub stereotaktyczna radioterapia, o ile po leczeniu utrzymuje się stan bezobjawowy);</w:t>
            </w:r>
          </w:p>
          <w:p w14:paraId="4782C433" w14:textId="77777777" w:rsidR="0038361C" w:rsidRPr="00052FC1" w:rsidRDefault="00463419" w:rsidP="00052FC1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>nieobecność aktywnych chorób autoimmunologicznych z wyłączeniem cukrzycy typu I, niedoczynności tarczycy w trakcie suplementacji hormonalnej, łuszczycy i bielactwa;</w:t>
            </w:r>
          </w:p>
          <w:p w14:paraId="22169F49" w14:textId="77777777" w:rsidR="0038361C" w:rsidRPr="00052FC1" w:rsidRDefault="00463419" w:rsidP="00052FC1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>wykluczenie ciąży lub karmienia piersią;</w:t>
            </w:r>
          </w:p>
          <w:p w14:paraId="4F0B62B1" w14:textId="77777777" w:rsidR="0038361C" w:rsidRPr="00052FC1" w:rsidRDefault="00463419" w:rsidP="00052FC1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>adekwatna wydolność narządowa określona na podstawie wyników badań laboratoryjnych umożliwiająca w opinii lekarza prowadzącego bezpieczne rozpoczęcie terapii;</w:t>
            </w:r>
          </w:p>
          <w:p w14:paraId="5A257DF3" w14:textId="49DA195A" w:rsidR="00463419" w:rsidRPr="00052FC1" w:rsidRDefault="00463419" w:rsidP="00052FC1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brak przeciwwskazań do stosowania każdego z leków zgodnie z aktualną Charakterystyką Produktu Leczniczego (ChPL). </w:t>
            </w:r>
          </w:p>
          <w:p w14:paraId="6B5DB6B4" w14:textId="77777777" w:rsidR="00463419" w:rsidRPr="00052FC1" w:rsidRDefault="00463419" w:rsidP="00052FC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>Kryteria kwalifikacji muszą być spełnione łącznie.</w:t>
            </w:r>
          </w:p>
          <w:p w14:paraId="05371905" w14:textId="77777777" w:rsidR="00463419" w:rsidRPr="00052FC1" w:rsidRDefault="00463419" w:rsidP="00052FC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  <w:p w14:paraId="2DC79196" w14:textId="3FC3E4AA" w:rsidR="00463419" w:rsidRPr="00052FC1" w:rsidRDefault="00463419" w:rsidP="00052FC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Określenie czasu leczenia w programie</w:t>
            </w:r>
          </w:p>
          <w:p w14:paraId="5C28E6E1" w14:textId="550FCD3F" w:rsidR="00463419" w:rsidRPr="00052FC1" w:rsidRDefault="00463419" w:rsidP="00052FC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>Leczenie należy kontynuować do czasu progresji choroby, wystąpienia niedopuszczalnej toksyczności lub maksymalnie przez okres 24 miesięcy.</w:t>
            </w:r>
            <w:r w:rsidR="007B727A" w:rsidRPr="00052F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82E3934" w14:textId="77777777" w:rsidR="00463419" w:rsidRPr="00052FC1" w:rsidRDefault="00463419" w:rsidP="00052FC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  <w:p w14:paraId="10555636" w14:textId="3054B707" w:rsidR="00463419" w:rsidRPr="00052FC1" w:rsidRDefault="00463419" w:rsidP="00052FC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Kryteria wyłączenia z udziału w programie</w:t>
            </w:r>
          </w:p>
          <w:p w14:paraId="34D912AF" w14:textId="77777777" w:rsidR="00463419" w:rsidRPr="00052FC1" w:rsidRDefault="00463419" w:rsidP="00052FC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>progresja choroby oceniona na podstawie obecnie obowiązujących kryteriów klasyfikacji RECIST, która w razie potrzeby powinna być potwierdzona na podstawie kolejnej oceny badaniem obrazowym wykonanym nie wcześniej niż po upływie 4 tygodni;</w:t>
            </w:r>
          </w:p>
          <w:p w14:paraId="06AE9ED7" w14:textId="77777777" w:rsidR="00463419" w:rsidRPr="00052FC1" w:rsidRDefault="00463419" w:rsidP="00052FC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lastRenderedPageBreak/>
              <w:t>nadwrażliwość na lek;</w:t>
            </w:r>
          </w:p>
          <w:p w14:paraId="74105AB8" w14:textId="77777777" w:rsidR="00463419" w:rsidRPr="00052FC1" w:rsidRDefault="00463419" w:rsidP="00052FC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wystąpienie klinicznie istotnej toksyczności leczenia w stopniu 3 lub 4 według kryteriów CTC (ang. </w:t>
            </w:r>
            <w:proofErr w:type="spellStart"/>
            <w:r w:rsidRPr="00052FC1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>Common</w:t>
            </w:r>
            <w:proofErr w:type="spellEnd"/>
            <w:r w:rsidRPr="00052FC1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052FC1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>Toxity</w:t>
            </w:r>
            <w:proofErr w:type="spellEnd"/>
            <w:r w:rsidRPr="00052FC1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052FC1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>Criteria</w:t>
            </w:r>
            <w:proofErr w:type="spellEnd"/>
            <w:r w:rsidRPr="00052FC1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>) zgodnie z Charakterystyką Produktu Leczniczego;</w:t>
            </w:r>
          </w:p>
          <w:p w14:paraId="32754306" w14:textId="77777777" w:rsidR="00463419" w:rsidRPr="00052FC1" w:rsidRDefault="00463419" w:rsidP="00052FC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>kobiety w wieku rozrodczym, które nie chcą lub nie są w stanie stosować dopuszczalnej metody antykoncepcji w celu uniknięcia ciąży przez cały okres leczenia oraz przez 4 miesiące po jego zakończeniu;</w:t>
            </w:r>
          </w:p>
          <w:p w14:paraId="3FAFDCA9" w14:textId="77777777" w:rsidR="00BA1138" w:rsidRPr="00052FC1" w:rsidRDefault="00463419" w:rsidP="00052FC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>kobiety w ciąży lub karmiące piersią</w:t>
            </w:r>
            <w:r w:rsidR="00BA1138" w:rsidRPr="00052FC1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>;</w:t>
            </w:r>
          </w:p>
          <w:p w14:paraId="26687440" w14:textId="70D43B0A" w:rsidR="00463419" w:rsidRPr="00052FC1" w:rsidRDefault="00BA1138" w:rsidP="00052FC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>brak współpracy lub nieprzestrzeganie zaleceń lekarskich, w tym zwłaszcza dotyczących okresowych badań kontrolnych oceniających skuteczność i bezpieczeństwo leczenia ze strony świadczeniobiorcy</w:t>
            </w:r>
            <w:r w:rsidR="00463419" w:rsidRPr="00052FC1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. 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407F5D" w14:textId="437EFCC1" w:rsidR="00463419" w:rsidRPr="00052FC1" w:rsidRDefault="00463419" w:rsidP="00052FC1">
            <w:pPr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lastRenderedPageBreak/>
              <w:t xml:space="preserve">240 mg </w:t>
            </w:r>
            <w:proofErr w:type="spellStart"/>
            <w:r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toripalimabu</w:t>
            </w:r>
            <w:proofErr w:type="spellEnd"/>
            <w:r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 podawane w postaci infuzji dożylnej w 1. dniu cyklu w skojarzeniu z </w:t>
            </w:r>
            <w:proofErr w:type="spellStart"/>
            <w:r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cisplatyną</w:t>
            </w:r>
            <w:proofErr w:type="spellEnd"/>
            <w:r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 w dawce 80 mg/m</w:t>
            </w:r>
            <w:r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:vertAlign w:val="superscript"/>
                <w14:ligatures w14:val="none"/>
              </w:rPr>
              <w:t>2</w:t>
            </w:r>
            <w:r w:rsidR="00E95184"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 powierzchni ciała (</w:t>
            </w:r>
            <w:proofErr w:type="spellStart"/>
            <w:r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p.c</w:t>
            </w:r>
            <w:proofErr w:type="spellEnd"/>
            <w:r w:rsidR="00E95184"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.)</w:t>
            </w:r>
            <w:r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 w 1. dniu cyklu oraz gemcytabiną w dawce 1 000 mg/m</w:t>
            </w:r>
            <w:r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:vertAlign w:val="superscript"/>
                <w14:ligatures w14:val="none"/>
              </w:rPr>
              <w:t xml:space="preserve">2 </w:t>
            </w:r>
            <w:proofErr w:type="spellStart"/>
            <w:r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p.c</w:t>
            </w:r>
            <w:proofErr w:type="spellEnd"/>
            <w:r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. podawaną w 1. i 8. dniu cyklu.</w:t>
            </w:r>
          </w:p>
          <w:p w14:paraId="1562CA89" w14:textId="77777777" w:rsidR="00463419" w:rsidRPr="00052FC1" w:rsidRDefault="00463419" w:rsidP="00052FC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Cykle leczenia podawane są co 21 dni (3 tygodnie). Należy podać maksymalną, tj. 6 liczbę cykli, a następnie </w:t>
            </w:r>
            <w:proofErr w:type="spellStart"/>
            <w:r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toripalimab</w:t>
            </w:r>
            <w:proofErr w:type="spellEnd"/>
            <w:r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 w dawce 240 mg raz na 3 tygodnie - w monoterapii. </w:t>
            </w:r>
          </w:p>
          <w:p w14:paraId="0A00A2A5" w14:textId="77777777" w:rsidR="00463419" w:rsidRPr="00052FC1" w:rsidRDefault="00463419" w:rsidP="00052FC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  <w:p w14:paraId="556C423F" w14:textId="063F9062" w:rsidR="00463419" w:rsidRPr="00052FC1" w:rsidRDefault="00463419" w:rsidP="00052FC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Dawkowanie oraz kryteria i sposób modyfikacji dawkowania (w tym okresowe wstrzymanie leczenia) prowadzone jest zgodnie z poszczególnymi</w:t>
            </w:r>
            <w:r w:rsidR="0016290B"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Charakterystykami Produktu Leczniczego.</w:t>
            </w:r>
          </w:p>
          <w:p w14:paraId="35364E78" w14:textId="20A7B5AE" w:rsidR="00463419" w:rsidRPr="00052FC1" w:rsidRDefault="002C46A6" w:rsidP="00052FC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Dopuszcza się</w:t>
            </w:r>
            <w:r w:rsidRPr="00052F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2FC1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maksymalną przerwę w terapii </w:t>
            </w:r>
            <w:proofErr w:type="spellStart"/>
            <w:r w:rsidRPr="00052FC1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toripalimabem</w:t>
            </w:r>
            <w:proofErr w:type="spellEnd"/>
            <w:r w:rsidRPr="00052FC1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wynoszącą 12 tygodni. 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F6D146D" w14:textId="339801D3" w:rsidR="00463419" w:rsidRPr="00052FC1" w:rsidRDefault="00463419" w:rsidP="00052FC1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before="60"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Badania przy kwalifikacji do leczenia</w:t>
            </w:r>
          </w:p>
          <w:p w14:paraId="16B59AB4" w14:textId="77777777" w:rsidR="00463419" w:rsidRPr="00052FC1" w:rsidRDefault="00463419" w:rsidP="00052FC1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badanie podmiotowe i przedmiotowe; </w:t>
            </w:r>
          </w:p>
          <w:p w14:paraId="4FFC9DAB" w14:textId="77777777" w:rsidR="00463419" w:rsidRPr="00052FC1" w:rsidRDefault="00463419" w:rsidP="00052FC1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ocena sprawności w skali ECOG;</w:t>
            </w:r>
          </w:p>
          <w:p w14:paraId="29397E64" w14:textId="77777777" w:rsidR="00463419" w:rsidRPr="00052FC1" w:rsidRDefault="00463419" w:rsidP="00052FC1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pomiar masy ciała; </w:t>
            </w:r>
          </w:p>
          <w:p w14:paraId="1DB290EE" w14:textId="77777777" w:rsidR="00463419" w:rsidRPr="00052FC1" w:rsidRDefault="00463419" w:rsidP="00052FC1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badania laboratoryjne:</w:t>
            </w:r>
          </w:p>
          <w:p w14:paraId="666EC2B1" w14:textId="77777777" w:rsidR="00463419" w:rsidRPr="00052FC1" w:rsidRDefault="00463419" w:rsidP="00052FC1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morfologia krwi,</w:t>
            </w:r>
          </w:p>
          <w:p w14:paraId="422FDE09" w14:textId="77777777" w:rsidR="00463419" w:rsidRPr="00052FC1" w:rsidRDefault="00463419" w:rsidP="00052FC1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oznaczenie stężenia kreatyniny,</w:t>
            </w:r>
          </w:p>
          <w:p w14:paraId="4165E206" w14:textId="77777777" w:rsidR="00463419" w:rsidRPr="00052FC1" w:rsidRDefault="00463419" w:rsidP="00052FC1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oznaczanie stężenia glukozy,</w:t>
            </w:r>
          </w:p>
          <w:p w14:paraId="7C9CE973" w14:textId="77777777" w:rsidR="00463419" w:rsidRPr="00052FC1" w:rsidRDefault="00463419" w:rsidP="00052FC1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oznaczenie stężenia bilirubiny całkowitej,</w:t>
            </w:r>
          </w:p>
          <w:p w14:paraId="2AB4E8D9" w14:textId="77777777" w:rsidR="00463419" w:rsidRPr="00052FC1" w:rsidRDefault="00463419" w:rsidP="00052FC1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oznaczenie aktywności aminotransferazy alaninowej i </w:t>
            </w:r>
            <w:proofErr w:type="spellStart"/>
            <w:r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asparaginianowej</w:t>
            </w:r>
            <w:proofErr w:type="spellEnd"/>
            <w:r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,</w:t>
            </w:r>
          </w:p>
          <w:p w14:paraId="7955A146" w14:textId="77777777" w:rsidR="00463419" w:rsidRPr="00052FC1" w:rsidRDefault="00463419" w:rsidP="00052FC1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oznaczenie poziomu sodu, wapnia, potasu,</w:t>
            </w:r>
          </w:p>
          <w:p w14:paraId="6518EF77" w14:textId="77777777" w:rsidR="00463419" w:rsidRPr="00052FC1" w:rsidRDefault="00463419" w:rsidP="00052FC1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oznaczenie poziomu TSH,</w:t>
            </w:r>
          </w:p>
          <w:p w14:paraId="08A79DF2" w14:textId="77777777" w:rsidR="00463419" w:rsidRPr="00052FC1" w:rsidRDefault="00463419" w:rsidP="00052FC1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test ciążowy u kobiet w wieku prokreacyjnym; </w:t>
            </w:r>
          </w:p>
          <w:p w14:paraId="21630E1B" w14:textId="77777777" w:rsidR="00463419" w:rsidRPr="00052FC1" w:rsidRDefault="00463419" w:rsidP="00052FC1">
            <w:pPr>
              <w:numPr>
                <w:ilvl w:val="3"/>
                <w:numId w:val="2"/>
              </w:numPr>
              <w:spacing w:after="60" w:line="276" w:lineRule="auto"/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badanie obrazowe – obligatoryjne – umożliwiające rozpoznanie miejscowego nawrotu lub uogólnienia płaskonabłonkowego raka </w:t>
            </w:r>
            <w:proofErr w:type="spellStart"/>
            <w:r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nosogardła</w:t>
            </w:r>
            <w:proofErr w:type="spellEnd"/>
            <w:r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– TK lub inne, jeżeli wymaga tego stan kliniczny pacjenta. </w:t>
            </w:r>
          </w:p>
          <w:p w14:paraId="7020D655" w14:textId="77777777" w:rsidR="00463419" w:rsidRPr="00052FC1" w:rsidRDefault="00463419" w:rsidP="00052FC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  <w:p w14:paraId="36CB6162" w14:textId="77777777" w:rsidR="00463419" w:rsidRPr="00052FC1" w:rsidRDefault="00463419" w:rsidP="00052FC1">
            <w:pPr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Monitorowanie bezpieczeństwa leczenia</w:t>
            </w:r>
          </w:p>
          <w:p w14:paraId="3363B2A9" w14:textId="77777777" w:rsidR="00463419" w:rsidRPr="00052FC1" w:rsidRDefault="00463419" w:rsidP="00052FC1">
            <w:pPr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badanie podmiotowe i przedmiotowe;</w:t>
            </w:r>
          </w:p>
          <w:p w14:paraId="12C9D0DE" w14:textId="77777777" w:rsidR="00463419" w:rsidRPr="00052FC1" w:rsidRDefault="00463419" w:rsidP="00052FC1">
            <w:pPr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lastRenderedPageBreak/>
              <w:t>morfologia krwi;</w:t>
            </w:r>
          </w:p>
          <w:p w14:paraId="635E9576" w14:textId="77777777" w:rsidR="00463419" w:rsidRPr="00052FC1" w:rsidRDefault="00463419" w:rsidP="00052FC1">
            <w:pPr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wskaźniki biochemiczne: oznaczenie stężenia kreatyniny, glukozy, bilirubiny całkowitej, sodu, potasu, wapnia, </w:t>
            </w:r>
            <w:proofErr w:type="spellStart"/>
            <w:r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aminotransferaz</w:t>
            </w:r>
            <w:proofErr w:type="spellEnd"/>
            <w:r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, TSH. </w:t>
            </w:r>
          </w:p>
          <w:p w14:paraId="3E98AE47" w14:textId="77777777" w:rsidR="00463419" w:rsidRPr="00052FC1" w:rsidRDefault="00463419" w:rsidP="00052FC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Badania należy wykonywać co 6 tygodni lub częściej w zależności od sytuacji klinicznej. </w:t>
            </w:r>
          </w:p>
          <w:p w14:paraId="7F40D4DC" w14:textId="77777777" w:rsidR="002C151A" w:rsidRPr="00052FC1" w:rsidRDefault="002C151A" w:rsidP="00052FC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  <w:p w14:paraId="0262AE8A" w14:textId="646FEE25" w:rsidR="00463419" w:rsidRPr="00052FC1" w:rsidRDefault="002C151A" w:rsidP="00052FC1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Monitorowanie skuteczności leczenia:</w:t>
            </w:r>
          </w:p>
          <w:p w14:paraId="4C0D50A6" w14:textId="77777777" w:rsidR="00463419" w:rsidRPr="00052FC1" w:rsidRDefault="00463419" w:rsidP="00052FC1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badanie przedmiotowe;</w:t>
            </w:r>
          </w:p>
          <w:p w14:paraId="35DBC0DB" w14:textId="77777777" w:rsidR="00463419" w:rsidRPr="00052FC1" w:rsidRDefault="00463419" w:rsidP="00052FC1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badania laboratoryjne;</w:t>
            </w:r>
          </w:p>
          <w:p w14:paraId="4A824F26" w14:textId="77777777" w:rsidR="00463419" w:rsidRPr="00052FC1" w:rsidRDefault="00463419" w:rsidP="00052FC1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badanie obrazowe – obligatoryjne – umożliwiające ocenę odpowiedzi na leczenie według aktualnych kryteriów RECIST – TK lub inne, jeżeli wymaga tego stan kliniczny pacjenta. </w:t>
            </w:r>
          </w:p>
          <w:p w14:paraId="04234A7D" w14:textId="77777777" w:rsidR="00463419" w:rsidRPr="00052FC1" w:rsidRDefault="00463419" w:rsidP="00052FC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Badania należy wykonywać co 12 tygodni lub częściej w zależności od sytuacji klinicznej.</w:t>
            </w:r>
          </w:p>
          <w:p w14:paraId="58ED3D2E" w14:textId="77777777" w:rsidR="00463419" w:rsidRPr="00052FC1" w:rsidRDefault="00463419" w:rsidP="00052FC1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  <w:p w14:paraId="2050E827" w14:textId="7E10FFA3" w:rsidR="00463419" w:rsidRPr="00052FC1" w:rsidRDefault="00463419" w:rsidP="00052FC1">
            <w:pPr>
              <w:pStyle w:val="Akapitzlist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Monitorowanie programu:</w:t>
            </w:r>
          </w:p>
          <w:p w14:paraId="67FDF366" w14:textId="3E196B33" w:rsidR="00602754" w:rsidRPr="00052FC1" w:rsidRDefault="002F105D" w:rsidP="00052FC1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o</w:t>
            </w:r>
            <w:r w:rsidR="00463419"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cena skuteczności (co 3 miesiące):</w:t>
            </w:r>
          </w:p>
          <w:p w14:paraId="52C1C18F" w14:textId="77777777" w:rsidR="00602754" w:rsidRPr="00052FC1" w:rsidRDefault="00463419" w:rsidP="00052FC1">
            <w:pPr>
              <w:pStyle w:val="Akapitzlist"/>
              <w:numPr>
                <w:ilvl w:val="4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Wskaźniki efektywności:</w:t>
            </w:r>
          </w:p>
          <w:p w14:paraId="43D1B7EB" w14:textId="77777777" w:rsidR="00602754" w:rsidRPr="00052FC1" w:rsidRDefault="00463419" w:rsidP="00052FC1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Przeżycie całkowite (OS),</w:t>
            </w:r>
          </w:p>
          <w:p w14:paraId="715AB01E" w14:textId="77777777" w:rsidR="00602754" w:rsidRPr="00052FC1" w:rsidRDefault="00463419" w:rsidP="00052FC1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Przeżycie wolne od progresji (PFS),</w:t>
            </w:r>
          </w:p>
          <w:p w14:paraId="527A55D6" w14:textId="77777777" w:rsidR="00602754" w:rsidRPr="00052FC1" w:rsidRDefault="00463419" w:rsidP="00052FC1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Ogólny wskaźnik odpowiedzi (ORR): odsetek pacjentów z najlepszą potwierdzoną odpowiedzią całkowitą (CR) lub częściową (PR),</w:t>
            </w:r>
          </w:p>
          <w:p w14:paraId="5F02E079" w14:textId="77777777" w:rsidR="00602754" w:rsidRPr="00052FC1" w:rsidRDefault="00463419" w:rsidP="00052FC1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Czas trwania odpowiedzi na leczenie (DOR)</w:t>
            </w:r>
            <w:r w:rsidR="00BA1138"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;</w:t>
            </w:r>
          </w:p>
          <w:p w14:paraId="02FBB30E" w14:textId="30C74791" w:rsidR="00602754" w:rsidRPr="00052FC1" w:rsidRDefault="00602754" w:rsidP="00052FC1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o</w:t>
            </w:r>
            <w:r w:rsidR="00463419"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cena bezpieczeństwa</w:t>
            </w:r>
            <w:r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:</w:t>
            </w:r>
          </w:p>
          <w:p w14:paraId="34E2C568" w14:textId="77777777" w:rsidR="00602754" w:rsidRPr="00052FC1" w:rsidRDefault="00463419" w:rsidP="00052FC1">
            <w:pPr>
              <w:pStyle w:val="Akapitzlist"/>
              <w:numPr>
                <w:ilvl w:val="4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działania niepożądane</w:t>
            </w:r>
            <w:r w:rsidR="00FB78DC"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;</w:t>
            </w:r>
          </w:p>
          <w:p w14:paraId="6FC4A53B" w14:textId="5168417E" w:rsidR="002C151A" w:rsidRPr="00052FC1" w:rsidRDefault="00463419" w:rsidP="00052FC1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gromadzenie w dokumentacji medycznej chorego danych dotyczących monitorowania leczenia i </w:t>
            </w:r>
            <w:r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lastRenderedPageBreak/>
              <w:t>każdorazowe ich przedstawianie na żądanie kontrolerów Narodowego Funduszu Zdrowia;</w:t>
            </w:r>
          </w:p>
          <w:p w14:paraId="35F2C53A" w14:textId="77777777" w:rsidR="002C151A" w:rsidRPr="00052FC1" w:rsidRDefault="00463419" w:rsidP="00052FC1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uzupełnienie danych zawartych w elektronicznym systemie monitorowania programów lekowych, dostępnym za pomocą aplikacji internetowej udostępnionej przez OW NFZ, z częstotliwością zgodną z opisem programu oraz na zakończenie leczenia;</w:t>
            </w:r>
          </w:p>
          <w:p w14:paraId="3BE25AA9" w14:textId="09D90E95" w:rsidR="00463419" w:rsidRPr="00052FC1" w:rsidRDefault="00463419" w:rsidP="00052FC1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052FC1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przekazywanie informacji sprawozdawczo-rozliczeniowych do NFZ: informacje przekazuje się do NFZ w formie papierowej lub w formie elektronicznej, zgodnie z wymaganiami opublikowanymi przez NFZ.</w:t>
            </w:r>
          </w:p>
        </w:tc>
      </w:tr>
    </w:tbl>
    <w:p w14:paraId="6600E666" w14:textId="77777777" w:rsidR="00463419" w:rsidRPr="00F30E39" w:rsidRDefault="00463419">
      <w:pPr>
        <w:rPr>
          <w:rFonts w:ascii="Lato" w:hAnsi="Lato"/>
        </w:rPr>
      </w:pPr>
    </w:p>
    <w:sectPr w:rsidR="00463419" w:rsidRPr="00F30E39" w:rsidSect="00052FC1">
      <w:pgSz w:w="16840" w:h="11907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EA597C"/>
    <w:multiLevelType w:val="multilevel"/>
    <w:tmpl w:val="BBBA6FDA"/>
    <w:lvl w:ilvl="0">
      <w:start w:val="1"/>
      <w:numFmt w:val="decimal"/>
      <w:lvlText w:val="%1)"/>
      <w:lvlJc w:val="left"/>
      <w:pPr>
        <w:ind w:left="227" w:hanging="227"/>
      </w:pPr>
      <w:rPr>
        <w:b w:val="0"/>
        <w:bCs w:val="0"/>
        <w:color w:val="auto"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Calibr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270063BC"/>
    <w:multiLevelType w:val="multilevel"/>
    <w:tmpl w:val="970887E2"/>
    <w:lvl w:ilvl="0">
      <w:start w:val="1"/>
      <w:numFmt w:val="decimal"/>
      <w:lvlText w:val="%1)"/>
      <w:lvlJc w:val="left"/>
      <w:pPr>
        <w:ind w:left="454" w:hanging="227"/>
      </w:pPr>
      <w:rPr>
        <w:rFonts w:hint="default"/>
        <w:b w:val="0"/>
        <w:bCs w:val="0"/>
        <w:color w:val="auto"/>
      </w:rPr>
    </w:lvl>
    <w:lvl w:ilvl="1">
      <w:start w:val="4"/>
      <w:numFmt w:val="decimal"/>
      <w:suff w:val="space"/>
      <w:lvlText w:val="%2."/>
      <w:lvlJc w:val="left"/>
      <w:pPr>
        <w:ind w:left="227" w:hanging="227"/>
      </w:pPr>
      <w:rPr>
        <w:rFonts w:ascii="Times New Roman" w:eastAsia="Calibri" w:hAnsi="Times New Roman" w:cs="Times New Roman"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28F902FF"/>
    <w:multiLevelType w:val="hybridMultilevel"/>
    <w:tmpl w:val="FDBA5CB6"/>
    <w:lvl w:ilvl="0" w:tplc="4B5A2724">
      <w:start w:val="1"/>
      <w:numFmt w:val="decimal"/>
      <w:suff w:val="space"/>
      <w:lvlText w:val="%1)"/>
      <w:lvlJc w:val="left"/>
      <w:pPr>
        <w:ind w:left="454" w:hanging="22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383CCA"/>
    <w:multiLevelType w:val="hybridMultilevel"/>
    <w:tmpl w:val="D8EA1B9C"/>
    <w:lvl w:ilvl="0" w:tplc="CABC4564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DF3862"/>
    <w:multiLevelType w:val="hybridMultilevel"/>
    <w:tmpl w:val="9474B6E8"/>
    <w:lvl w:ilvl="0" w:tplc="9B82413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9166753"/>
    <w:multiLevelType w:val="hybridMultilevel"/>
    <w:tmpl w:val="2C9A7730"/>
    <w:lvl w:ilvl="0" w:tplc="07C0B9E4">
      <w:start w:val="1"/>
      <w:numFmt w:val="bullet"/>
      <w:lvlText w:val=""/>
      <w:lvlJc w:val="left"/>
      <w:pPr>
        <w:ind w:left="9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6" w15:restartNumberingAfterBreak="0">
    <w:nsid w:val="5D5958B7"/>
    <w:multiLevelType w:val="hybridMultilevel"/>
    <w:tmpl w:val="46A0E336"/>
    <w:lvl w:ilvl="0" w:tplc="07C0B9E4">
      <w:start w:val="1"/>
      <w:numFmt w:val="bullet"/>
      <w:lvlText w:val=""/>
      <w:lvlJc w:val="left"/>
      <w:pPr>
        <w:ind w:left="9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7" w15:restartNumberingAfterBreak="0">
    <w:nsid w:val="6BA56958"/>
    <w:multiLevelType w:val="hybridMultilevel"/>
    <w:tmpl w:val="4420FFF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C0D0DAC"/>
    <w:multiLevelType w:val="multilevel"/>
    <w:tmpl w:val="B3DEB988"/>
    <w:lvl w:ilvl="0">
      <w:start w:val="2"/>
      <w:numFmt w:val="decimal"/>
      <w:lvlText w:val="%1)"/>
      <w:lvlJc w:val="left"/>
      <w:pPr>
        <w:ind w:left="227" w:hanging="227"/>
      </w:pPr>
      <w:rPr>
        <w:rFonts w:hint="default"/>
        <w:b w:val="0"/>
        <w:bCs w:val="0"/>
        <w:color w:val="auto"/>
      </w:rPr>
    </w:lvl>
    <w:lvl w:ilvl="1">
      <w:start w:val="4"/>
      <w:numFmt w:val="decimal"/>
      <w:suff w:val="space"/>
      <w:lvlText w:val="%2."/>
      <w:lvlJc w:val="left"/>
      <w:pPr>
        <w:ind w:left="227" w:hanging="227"/>
      </w:pPr>
      <w:rPr>
        <w:rFonts w:ascii="Times New Roman" w:eastAsia="Calibri" w:hAnsi="Times New Roman" w:cs="Times New Roman"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6C8F05D7"/>
    <w:multiLevelType w:val="hybridMultilevel"/>
    <w:tmpl w:val="57A258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CF1775"/>
    <w:multiLevelType w:val="hybridMultilevel"/>
    <w:tmpl w:val="51D49146"/>
    <w:lvl w:ilvl="0" w:tplc="04150011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C07F46"/>
    <w:multiLevelType w:val="multilevel"/>
    <w:tmpl w:val="D7788ED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Calibri" w:hAnsi="Times New Roman" w:cs="Times New Roman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71715D14"/>
    <w:multiLevelType w:val="hybridMultilevel"/>
    <w:tmpl w:val="20D05662"/>
    <w:lvl w:ilvl="0" w:tplc="7E808134">
      <w:start w:val="9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E31A0C"/>
    <w:multiLevelType w:val="hybridMultilevel"/>
    <w:tmpl w:val="8FEA6D36"/>
    <w:lvl w:ilvl="0" w:tplc="AB8A588E">
      <w:start w:val="1"/>
      <w:numFmt w:val="decimal"/>
      <w:suff w:val="space"/>
      <w:lvlText w:val="%1)"/>
      <w:lvlJc w:val="left"/>
      <w:pPr>
        <w:ind w:left="454" w:hanging="227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A403055"/>
    <w:multiLevelType w:val="multilevel"/>
    <w:tmpl w:val="B11298F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338429474">
    <w:abstractNumId w:val="14"/>
  </w:num>
  <w:num w:numId="2" w16cid:durableId="1034189746">
    <w:abstractNumId w:val="0"/>
  </w:num>
  <w:num w:numId="3" w16cid:durableId="1468008180">
    <w:abstractNumId w:val="13"/>
  </w:num>
  <w:num w:numId="4" w16cid:durableId="2143686773">
    <w:abstractNumId w:val="11"/>
  </w:num>
  <w:num w:numId="5" w16cid:durableId="108011798">
    <w:abstractNumId w:val="12"/>
  </w:num>
  <w:num w:numId="6" w16cid:durableId="2068607229">
    <w:abstractNumId w:val="6"/>
  </w:num>
  <w:num w:numId="7" w16cid:durableId="1400052295">
    <w:abstractNumId w:val="5"/>
  </w:num>
  <w:num w:numId="8" w16cid:durableId="804464564">
    <w:abstractNumId w:val="9"/>
  </w:num>
  <w:num w:numId="9" w16cid:durableId="403529947">
    <w:abstractNumId w:val="7"/>
  </w:num>
  <w:num w:numId="10" w16cid:durableId="683869758">
    <w:abstractNumId w:val="10"/>
  </w:num>
  <w:num w:numId="11" w16cid:durableId="349573411">
    <w:abstractNumId w:val="3"/>
  </w:num>
  <w:num w:numId="12" w16cid:durableId="536352731">
    <w:abstractNumId w:val="8"/>
  </w:num>
  <w:num w:numId="13" w16cid:durableId="807168828">
    <w:abstractNumId w:val="2"/>
  </w:num>
  <w:num w:numId="14" w16cid:durableId="1678002097">
    <w:abstractNumId w:val="1"/>
  </w:num>
  <w:num w:numId="15" w16cid:durableId="9160138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419"/>
    <w:rsid w:val="00052FC1"/>
    <w:rsid w:val="000B71AB"/>
    <w:rsid w:val="000C0EA9"/>
    <w:rsid w:val="000C6724"/>
    <w:rsid w:val="0016290B"/>
    <w:rsid w:val="001E3E7E"/>
    <w:rsid w:val="00205C6A"/>
    <w:rsid w:val="002C151A"/>
    <w:rsid w:val="002C46A6"/>
    <w:rsid w:val="002F105D"/>
    <w:rsid w:val="0038361C"/>
    <w:rsid w:val="00391116"/>
    <w:rsid w:val="00420146"/>
    <w:rsid w:val="00436DC7"/>
    <w:rsid w:val="00463419"/>
    <w:rsid w:val="004A2DD1"/>
    <w:rsid w:val="004C18DB"/>
    <w:rsid w:val="004D291F"/>
    <w:rsid w:val="00527EF8"/>
    <w:rsid w:val="005B2255"/>
    <w:rsid w:val="00602754"/>
    <w:rsid w:val="006F34FC"/>
    <w:rsid w:val="007510F2"/>
    <w:rsid w:val="0079723D"/>
    <w:rsid w:val="007B727A"/>
    <w:rsid w:val="007D4581"/>
    <w:rsid w:val="007F364B"/>
    <w:rsid w:val="00826C22"/>
    <w:rsid w:val="00855889"/>
    <w:rsid w:val="009A574B"/>
    <w:rsid w:val="00A06723"/>
    <w:rsid w:val="00AA5E03"/>
    <w:rsid w:val="00BA1138"/>
    <w:rsid w:val="00D84D74"/>
    <w:rsid w:val="00E8754B"/>
    <w:rsid w:val="00E95184"/>
    <w:rsid w:val="00EB12A7"/>
    <w:rsid w:val="00EC6BF3"/>
    <w:rsid w:val="00F30E39"/>
    <w:rsid w:val="00FA4708"/>
    <w:rsid w:val="00FB78DC"/>
    <w:rsid w:val="00FF0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3DAFF"/>
  <w15:chartTrackingRefBased/>
  <w15:docId w15:val="{29A5EC74-CBF6-4786-BB4D-3F09C9272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634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634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6341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634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6341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634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634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634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634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6341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6341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6341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6341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6341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6341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6341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6341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6341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634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634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634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634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634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6341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6341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6341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634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6341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63419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11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A11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A11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11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113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43BE60-3D35-4FC0-BE07-9BC027EEE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847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Klimkowska Katarzyna</dc:creator>
  <cp:keywords/>
  <dc:description/>
  <cp:lastModifiedBy>Rudek Paulina</cp:lastModifiedBy>
  <cp:revision>9</cp:revision>
  <dcterms:created xsi:type="dcterms:W3CDTF">2025-05-15T09:51:00Z</dcterms:created>
  <dcterms:modified xsi:type="dcterms:W3CDTF">2025-06-13T07:32:00Z</dcterms:modified>
</cp:coreProperties>
</file>